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rPr>
          <w:rFonts w:ascii="方正小标宋简体" w:hAnsi="Times New Roman" w:eastAsia="方正小标宋简体"/>
          <w:sz w:val="44"/>
          <w:szCs w:val="44"/>
        </w:rPr>
      </w:pPr>
      <w:r>
        <w:rPr>
          <w:rFonts w:hint="eastAsia" w:ascii="方正小标宋简体" w:hAnsi="Times New Roman" w:eastAsia="方正小标宋简体"/>
          <w:sz w:val="44"/>
          <w:szCs w:val="44"/>
        </w:rPr>
        <w:t>云南省统计局2020年度部门双随机统计执法检查情况（昭通市昭阳区）</w:t>
      </w:r>
    </w:p>
    <w:tbl>
      <w:tblPr>
        <w:tblStyle w:val="2"/>
        <w:tblW w:w="13828" w:type="dxa"/>
        <w:jc w:val="center"/>
        <w:tblInd w:w="-52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237"/>
        <w:gridCol w:w="2693"/>
        <w:gridCol w:w="41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blHeader/>
          <w:jc w:val="center"/>
        </w:trPr>
        <w:tc>
          <w:tcPr>
            <w:tcW w:w="732" w:type="dxa"/>
            <w:vAlign w:val="center"/>
          </w:tcPr>
          <w:p>
            <w:pPr>
              <w:widowControl/>
              <w:jc w:val="center"/>
              <w:rPr>
                <w:rFonts w:ascii="方正黑体简体" w:hAnsi="方正黑体简体" w:eastAsia="方正黑体简体" w:cs="方正黑体简体"/>
                <w:kern w:val="0"/>
                <w:sz w:val="20"/>
                <w:szCs w:val="20"/>
              </w:rPr>
            </w:pPr>
            <w:r>
              <w:rPr>
                <w:rFonts w:hint="eastAsia" w:ascii="方正黑体简体" w:hAnsi="方正黑体简体" w:eastAsia="方正黑体简体" w:cs="方正黑体简体"/>
                <w:kern w:val="0"/>
                <w:sz w:val="20"/>
                <w:szCs w:val="20"/>
              </w:rPr>
              <w:t>序号</w:t>
            </w:r>
          </w:p>
        </w:tc>
        <w:tc>
          <w:tcPr>
            <w:tcW w:w="6237" w:type="dxa"/>
            <w:vAlign w:val="center"/>
          </w:tcPr>
          <w:p>
            <w:pPr>
              <w:widowControl/>
              <w:jc w:val="center"/>
              <w:rPr>
                <w:rFonts w:ascii="方正黑体简体" w:hAnsi="方正黑体简体" w:eastAsia="方正黑体简体" w:cs="方正黑体简体"/>
                <w:kern w:val="0"/>
                <w:sz w:val="20"/>
                <w:szCs w:val="20"/>
              </w:rPr>
            </w:pPr>
            <w:r>
              <w:rPr>
                <w:rFonts w:hint="eastAsia" w:ascii="方正黑体简体" w:hAnsi="方正黑体简体" w:eastAsia="方正黑体简体" w:cs="方正黑体简体"/>
                <w:kern w:val="0"/>
                <w:sz w:val="20"/>
                <w:szCs w:val="20"/>
              </w:rPr>
              <w:t>被检查统计调查对象（项目）名称</w:t>
            </w:r>
          </w:p>
        </w:tc>
        <w:tc>
          <w:tcPr>
            <w:tcW w:w="2693" w:type="dxa"/>
            <w:vAlign w:val="center"/>
          </w:tcPr>
          <w:p>
            <w:pPr>
              <w:widowControl/>
              <w:jc w:val="center"/>
              <w:rPr>
                <w:rFonts w:ascii="方正黑体简体" w:hAnsi="方正黑体简体" w:eastAsia="方正黑体简体" w:cs="方正黑体简体"/>
                <w:kern w:val="0"/>
                <w:sz w:val="20"/>
                <w:szCs w:val="20"/>
              </w:rPr>
            </w:pPr>
            <w:r>
              <w:rPr>
                <w:rFonts w:hint="eastAsia" w:ascii="方正黑体简体" w:hAnsi="方正黑体简体" w:eastAsia="方正黑体简体" w:cs="方正黑体简体"/>
                <w:kern w:val="0"/>
                <w:sz w:val="20"/>
                <w:szCs w:val="20"/>
              </w:rPr>
              <w:t>检查事项</w:t>
            </w:r>
          </w:p>
        </w:tc>
        <w:tc>
          <w:tcPr>
            <w:tcW w:w="4166" w:type="dxa"/>
            <w:vAlign w:val="center"/>
          </w:tcPr>
          <w:p>
            <w:pPr>
              <w:widowControl/>
              <w:jc w:val="center"/>
              <w:rPr>
                <w:rFonts w:ascii="方正黑体简体" w:hAnsi="方正黑体简体" w:eastAsia="方正黑体简体" w:cs="方正黑体简体"/>
                <w:kern w:val="0"/>
                <w:sz w:val="20"/>
                <w:szCs w:val="20"/>
              </w:rPr>
            </w:pPr>
            <w:r>
              <w:rPr>
                <w:rFonts w:hint="eastAsia" w:ascii="方正黑体简体" w:hAnsi="方正黑体简体" w:eastAsia="方正黑体简体" w:cs="方正黑体简体"/>
                <w:kern w:val="0"/>
                <w:sz w:val="20"/>
                <w:szCs w:val="20"/>
              </w:rPr>
              <w:t>检查情况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昭通市人力资源和社会保障局（公共实训基地建设项目）</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昭通市昭阳区自然资源局（昭通市昭阳区小龙洞等二个乡镇小龙洞等五个村土地整治补充耕地项目）</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涉嫌违反统计法，转交昭通市统计局立案查处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昭通市昭阳区卫生健康局（昭阳区第二人民医院建设项目）</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237" w:type="dxa"/>
            <w:vAlign w:val="center"/>
          </w:tcPr>
          <w:p>
            <w:pPr>
              <w:widowControl/>
              <w:jc w:val="left"/>
              <w:rPr>
                <w:rFonts w:hint="eastAsia" w:ascii="宋体" w:hAnsi="宋体"/>
                <w:kern w:val="0"/>
                <w:sz w:val="20"/>
                <w:szCs w:val="20"/>
              </w:rPr>
            </w:pPr>
            <w:r>
              <w:rPr>
                <w:rFonts w:hint="eastAsia" w:ascii="宋体" w:hAnsi="宋体"/>
                <w:kern w:val="0"/>
                <w:sz w:val="20"/>
                <w:szCs w:val="20"/>
              </w:rPr>
              <w:t>昭通市昭阳区卫生健康局（云南省昭通市昭阳区中医医院业务用房</w:t>
            </w:r>
          </w:p>
          <w:p>
            <w:pPr>
              <w:widowControl/>
              <w:jc w:val="left"/>
              <w:rPr>
                <w:rFonts w:ascii="Times New Roman" w:hAnsi="Times New Roman"/>
                <w:kern w:val="0"/>
                <w:sz w:val="20"/>
                <w:szCs w:val="20"/>
              </w:rPr>
            </w:pPr>
            <w:r>
              <w:rPr>
                <w:rFonts w:hint="eastAsia" w:ascii="宋体" w:hAnsi="宋体"/>
                <w:kern w:val="0"/>
                <w:sz w:val="20"/>
                <w:szCs w:val="20"/>
              </w:rPr>
              <w:t>建设项目）</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昭通市城投产业投资管理有限公司（靖安易地安置区配套砂石厂）</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涉嫌违反统计法，转交昭通市统计局立案查处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732" w:type="dxa"/>
            <w:shd w:val="clear" w:color="auto" w:fill="auto"/>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237" w:type="dxa"/>
            <w:shd w:val="clear" w:color="000000" w:fill="FFFFFF"/>
            <w:vAlign w:val="center"/>
          </w:tcPr>
          <w:p>
            <w:pPr>
              <w:widowControl/>
              <w:jc w:val="left"/>
              <w:rPr>
                <w:rFonts w:ascii="Times New Roman" w:hAnsi="Times New Roman"/>
                <w:kern w:val="0"/>
                <w:sz w:val="20"/>
                <w:szCs w:val="20"/>
              </w:rPr>
            </w:pPr>
            <w:r>
              <w:rPr>
                <w:rFonts w:hint="eastAsia" w:ascii="宋体" w:hAnsi="宋体"/>
                <w:kern w:val="0"/>
                <w:sz w:val="20"/>
                <w:szCs w:val="20"/>
              </w:rPr>
              <w:t>云南建投绿色高性能混凝土股份有限公司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云南汉木森生物科技有限责任公司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732" w:type="dxa"/>
            <w:shd w:val="clear" w:color="auto" w:fill="auto"/>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6237" w:type="dxa"/>
            <w:shd w:val="clear" w:color="auto" w:fill="auto"/>
            <w:noWrap/>
            <w:vAlign w:val="center"/>
          </w:tcPr>
          <w:p>
            <w:pPr>
              <w:widowControl/>
              <w:jc w:val="left"/>
              <w:rPr>
                <w:rFonts w:ascii="Times New Roman" w:hAnsi="Times New Roman"/>
                <w:kern w:val="0"/>
                <w:sz w:val="20"/>
                <w:szCs w:val="20"/>
              </w:rPr>
            </w:pPr>
            <w:r>
              <w:rPr>
                <w:rFonts w:hint="eastAsia" w:ascii="宋体" w:hAnsi="宋体"/>
                <w:kern w:val="0"/>
                <w:sz w:val="20"/>
                <w:szCs w:val="20"/>
              </w:rPr>
              <w:t>昭通兴通混凝土有限公司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732" w:type="dxa"/>
            <w:shd w:val="clear" w:color="auto" w:fill="auto"/>
            <w:vAlign w:val="center"/>
          </w:tcPr>
          <w:p>
            <w:pPr>
              <w:widowControl/>
              <w:jc w:val="center"/>
              <w:rPr>
                <w:rFonts w:ascii="Times New Roman" w:hAnsi="Times New Roman"/>
                <w:kern w:val="0"/>
                <w:sz w:val="20"/>
                <w:szCs w:val="20"/>
              </w:rPr>
            </w:pPr>
            <w:r>
              <w:rPr>
                <w:rFonts w:ascii="Times New Roman" w:hAnsi="Times New Roman"/>
                <w:kern w:val="0"/>
                <w:sz w:val="20"/>
                <w:szCs w:val="20"/>
              </w:rPr>
              <w:t>9</w:t>
            </w:r>
          </w:p>
        </w:tc>
        <w:tc>
          <w:tcPr>
            <w:tcW w:w="6237" w:type="dxa"/>
            <w:shd w:val="clear" w:color="000000" w:fill="FFFFFF"/>
            <w:vAlign w:val="center"/>
          </w:tcPr>
          <w:p>
            <w:pPr>
              <w:widowControl/>
              <w:jc w:val="left"/>
              <w:rPr>
                <w:rFonts w:ascii="Times New Roman" w:hAnsi="Times New Roman"/>
                <w:kern w:val="0"/>
                <w:sz w:val="20"/>
                <w:szCs w:val="20"/>
              </w:rPr>
            </w:pPr>
            <w:r>
              <w:rPr>
                <w:rFonts w:hint="eastAsia" w:ascii="宋体" w:hAnsi="宋体"/>
                <w:kern w:val="0"/>
                <w:sz w:val="20"/>
                <w:szCs w:val="20"/>
              </w:rPr>
              <w:t>昭通市湘通混泥土有限公司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32" w:type="dxa"/>
            <w:shd w:val="clear" w:color="auto" w:fill="auto"/>
            <w:vAlign w:val="center"/>
          </w:tcPr>
          <w:p>
            <w:pPr>
              <w:widowControl/>
              <w:jc w:val="center"/>
              <w:rPr>
                <w:rFonts w:ascii="Times New Roman" w:hAnsi="Times New Roman"/>
                <w:kern w:val="0"/>
                <w:sz w:val="20"/>
                <w:szCs w:val="20"/>
              </w:rPr>
            </w:pPr>
            <w:r>
              <w:rPr>
                <w:rFonts w:ascii="Times New Roman" w:hAnsi="Times New Roman"/>
                <w:kern w:val="0"/>
                <w:sz w:val="20"/>
                <w:szCs w:val="20"/>
              </w:rPr>
              <w:t>10</w:t>
            </w:r>
          </w:p>
        </w:tc>
        <w:tc>
          <w:tcPr>
            <w:tcW w:w="6237" w:type="dxa"/>
            <w:shd w:val="clear" w:color="000000" w:fill="FFFFFF"/>
            <w:vAlign w:val="center"/>
          </w:tcPr>
          <w:p>
            <w:pPr>
              <w:widowControl/>
              <w:jc w:val="left"/>
              <w:rPr>
                <w:rFonts w:ascii="宋体" w:hAnsi="宋体" w:cs="Arial"/>
                <w:kern w:val="0"/>
                <w:sz w:val="20"/>
                <w:szCs w:val="20"/>
              </w:rPr>
            </w:pPr>
            <w:r>
              <w:rPr>
                <w:rFonts w:hint="eastAsia" w:ascii="宋体" w:hAnsi="宋体" w:cs="Arial"/>
                <w:kern w:val="0"/>
                <w:sz w:val="20"/>
                <w:szCs w:val="20"/>
              </w:rPr>
              <w:t>云南兴伦肥业有限公司</w:t>
            </w:r>
            <w:bookmarkStart w:id="0" w:name="_GoBack"/>
            <w:bookmarkEnd w:id="0"/>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11</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昭通市鼎安科技有限公司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12</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云南旌旗文化发展有限公司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涉嫌违反统计法，转交昭通市统计局立案查处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13</w:t>
            </w:r>
          </w:p>
        </w:tc>
        <w:tc>
          <w:tcPr>
            <w:tcW w:w="6237" w:type="dxa"/>
            <w:vAlign w:val="center"/>
          </w:tcPr>
          <w:p>
            <w:pPr>
              <w:widowControl/>
              <w:jc w:val="left"/>
              <w:rPr>
                <w:rFonts w:ascii="Times New Roman" w:hAnsi="Times New Roman"/>
                <w:kern w:val="0"/>
                <w:sz w:val="20"/>
                <w:szCs w:val="20"/>
              </w:rPr>
            </w:pPr>
            <w:r>
              <w:rPr>
                <w:rFonts w:hint="eastAsia" w:ascii="宋体" w:hAnsi="宋体"/>
                <w:kern w:val="0"/>
                <w:sz w:val="20"/>
                <w:szCs w:val="20"/>
              </w:rPr>
              <w:t>云南白虎山文化传播有限公司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14</w:t>
            </w:r>
          </w:p>
        </w:tc>
        <w:tc>
          <w:tcPr>
            <w:tcW w:w="6237" w:type="dxa"/>
            <w:vAlign w:val="center"/>
          </w:tcPr>
          <w:p>
            <w:pPr>
              <w:widowControl/>
              <w:jc w:val="left"/>
              <w:rPr>
                <w:rFonts w:ascii="宋体" w:hAnsi="宋体" w:cs="Arial"/>
                <w:kern w:val="0"/>
                <w:sz w:val="20"/>
                <w:szCs w:val="20"/>
              </w:rPr>
            </w:pPr>
            <w:r>
              <w:rPr>
                <w:rFonts w:hint="eastAsia" w:ascii="宋体" w:hAnsi="宋体" w:cs="Arial"/>
                <w:kern w:val="0"/>
                <w:sz w:val="20"/>
                <w:szCs w:val="20"/>
              </w:rPr>
              <w:t>昭通市皇马餐饮娱乐有限公司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未发现统计违法行为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732" w:type="dxa"/>
            <w:vAlign w:val="center"/>
          </w:tcPr>
          <w:p>
            <w:pPr>
              <w:widowControl/>
              <w:jc w:val="center"/>
              <w:rPr>
                <w:rFonts w:ascii="Times New Roman" w:hAnsi="Times New Roman"/>
                <w:kern w:val="0"/>
                <w:sz w:val="20"/>
                <w:szCs w:val="20"/>
              </w:rPr>
            </w:pPr>
            <w:r>
              <w:rPr>
                <w:rFonts w:ascii="Times New Roman" w:hAnsi="Times New Roman"/>
                <w:kern w:val="0"/>
                <w:sz w:val="20"/>
                <w:szCs w:val="20"/>
              </w:rPr>
              <w:t>15</w:t>
            </w:r>
          </w:p>
        </w:tc>
        <w:tc>
          <w:tcPr>
            <w:tcW w:w="6237" w:type="dxa"/>
            <w:vAlign w:val="center"/>
          </w:tcPr>
          <w:p>
            <w:pPr>
              <w:widowControl/>
              <w:jc w:val="left"/>
              <w:rPr>
                <w:rFonts w:ascii="宋体" w:hAnsi="宋体" w:cs="Arial"/>
                <w:kern w:val="0"/>
                <w:sz w:val="20"/>
                <w:szCs w:val="20"/>
              </w:rPr>
            </w:pPr>
            <w:r>
              <w:rPr>
                <w:rFonts w:hint="eastAsia" w:ascii="宋体" w:hAnsi="宋体" w:cs="Arial"/>
                <w:kern w:val="0"/>
                <w:sz w:val="20"/>
                <w:szCs w:val="20"/>
              </w:rPr>
              <w:t>昭通市恒升汽车服务有限公司</w:t>
            </w:r>
          </w:p>
        </w:tc>
        <w:tc>
          <w:tcPr>
            <w:tcW w:w="2693"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统计资料报送情况监督检查</w:t>
            </w:r>
          </w:p>
        </w:tc>
        <w:tc>
          <w:tcPr>
            <w:tcW w:w="4166"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涉嫌违反统计法，转交昭通市统计局立案查处</w:t>
            </w:r>
          </w:p>
        </w:tc>
      </w:tr>
    </w:tbl>
    <w:p/>
    <w:sectPr>
      <w:pgSz w:w="16838" w:h="11906" w:orient="landscape"/>
      <w:pgMar w:top="1417"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07E14"/>
    <w:rsid w:val="2AF57965"/>
    <w:rsid w:val="60B0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2021-03-11T00:56:00Z</dcterms:created>
  <dc:creator>郭慧</dc:creator>
  <cp:lastModifiedBy>郭慧</cp:lastModifiedBy>
  <dcterms:modified xsi:type="dcterms:W3CDTF">2021-03-11T01:02:38Z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